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59 vom 23. November 2023</w:t>
      </w:r>
    </w:p>
    <w:p>
      <w:r>
        <w:t>GR Gerichte, 2023-11-23, DE</w:t>
      </w:r>
    </w:p>
    <w:p>
      <w:r>
        <w:rPr>
          <w:b/>
        </w:rPr>
        <w:t xml:space="preserve">Quelle: </w:t>
      </w:r>
      <w:r>
        <w:t>https://mcp.opencaselaw.ch/entscheid/gr_gerichte_SK1 2023 59</w:t>
      </w:r>
    </w:p>
    <w:p>
      <w:r>
        <w:t>FR: GR_GERICHTE SK1 2023 59 du 23 novembre 2023</w:t>
      </w:r>
    </w:p>
    <w:p>
      <w:r>
        <w:t>IT: GR_GERICHTE SK1 2023 59 del 23 novembre 2023</w:t>
      </w:r>
    </w:p>
    <w:p>
      <w:pPr>
        <w:pStyle w:val="Heading2"/>
      </w:pPr>
      <w:r>
        <w:t>Regeste</w:t>
      </w:r>
    </w:p>
    <w:p>
      <w:r>
        <w:t>Ausstand</w:t>
      </w:r>
    </w:p>
    <w:p>
      <w:pPr>
        <w:pStyle w:val="Heading2"/>
      </w:pPr>
      <w:r>
        <w:t>Erwägungen</w:t>
      </w:r>
    </w:p>
    <w:p>
      <w:r>
        <w:rPr>
          <w:b/>
        </w:rPr>
        <w:t>E. 1</w:t>
      </w:r>
    </w:p>
    <w:p>
      <w:r>
        <w:t>Über den Ausstand von Mitgliedern der Beschwerdekammer entscheidet das Berufungsgericht (Art. 59 Abs. 1 lit. c StPO).</w:t>
      </w:r>
    </w:p>
    <w:p>
      <w:r>
        <w:rPr>
          <w:b/>
        </w:rPr>
        <w:t>E. 2</w:t>
      </w:r>
    </w:p>
    <w:p>
      <w:r>
        <w:t>Gemäss Art. 56 lit. f StPO tritt eine in einer Strafbehörde tätige Person in den Ausstand, wenn sie aus anderen Gründen als den im selben Artikel aufgelis- teten befangen sein könnte, insbesondere wegen Freundschaft oder Feindschaft mit einer Partei oder deren Rechtsbeistand. Die Rechtsprechung nimmt Voreinge- nommenheit und Befangenheit an, wenn Umstände vorliegen, die geeignet sind, Misstrauen in die Unparteilichkeit des Richters zu erwecken.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(BGE 148 IV 137 E. 2.2 mit Hinweisen). Ein kollegiales Verhältnis bzw. eine berufliche Beziehung zwischen der in der Strafbehörde tätigen Person und einer Verfahrenspartei oder deren Rechtsbeistand begründen keinen Ausstandsgrund, sofern keine weiteren, kon- kreten Umstände auf mangelnde Unvoreingenommenheit schliessen lassen (BGer 7B_156/2022 v. 7.9.2023 E. 4.5.1 mit Hinweisen). Auch die Mitgliedschaft in der- selben politischen Partei stellt für sich alleine keinen Ausstandsgrund dar (Boog, a.a.O., N 40 zu Art. 56 StPO).</w:t>
      </w:r>
    </w:p>
    <w:p>
      <w:r>
        <w:rPr>
          <w:b/>
        </w:rPr>
        <w:t>E. 3</w:t>
      </w:r>
    </w:p>
    <w:p>
      <w:r>
        <w:t>Die Strafbehörde legt die Kostenfolge im Endentscheid fest (Art. 421 Abs. 1 StPO). In Zwischenentscheiden kann sie diese Festlegung vorwegnehmen (Art. 421 Abs. 2 lit. a StPO). Art. 59 Abs. 4 StPO regelt die Verfahrenskosten bei Gutheissung oder Abweisung des von einer Verfahrenspartei gestellten Ausstandsgesuchs. Nicht geregelt ist hingegen die Kostenverteilung des aufgrund einer Mitteilung gemäss Art. 57 StPO von Amtes wegen eingeleiteten Verfahrens. In diesem Fall gehen die Kosten der allgemeinen Regel von Art. 423 Abs. 1 StPO folgend zulasten des Kantons, was bereits mit dem heutigen Beschluss festgelegt werden kann. Über allfällige Ent- schädigungen wird hingegen die Beschwerdeinstanz im Rahmen ihres Entscheids zu befinden haben.</w:t>
      </w:r>
    </w:p>
    <w:p>
      <w:r>
        <w:rPr>
          <w:b/>
        </w:rPr>
        <w:t>E. 4</w:t>
      </w:r>
    </w:p>
    <w:p>
      <w:r>
        <w: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